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ind w:firstLine="0" w:firstLineChars="0"/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070707"/>
          <w:kern w:val="0"/>
          <w:sz w:val="32"/>
          <w:szCs w:val="32"/>
        </w:rPr>
        <w:t>1</w:t>
      </w:r>
    </w:p>
    <w:p>
      <w:pPr>
        <w:widowControl/>
        <w:ind w:firstLine="640"/>
        <w:jc w:val="center"/>
        <w:rPr>
          <w:rFonts w:hint="eastAsia" w:ascii="Times New Roman" w:hAnsi="Times New Roman" w:eastAsia="黑体" w:cs="黑体"/>
          <w:b w:val="0"/>
          <w:bCs/>
          <w:sz w:val="36"/>
          <w:szCs w:val="36"/>
        </w:rPr>
      </w:pPr>
    </w:p>
    <w:p>
      <w:pPr>
        <w:widowControl/>
        <w:ind w:firstLine="640"/>
        <w:jc w:val="center"/>
        <w:rPr>
          <w:rFonts w:hint="eastAsia" w:ascii="Times New Roman" w:hAnsi="Times New Roman" w:eastAsia="黑体" w:cs="黑体"/>
          <w:b w:val="0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  <w:t>20</w:t>
      </w:r>
      <w:r>
        <w:rPr>
          <w:rFonts w:hint="eastAsia" w:ascii="Times New Roman" w:hAnsi="Times New Roman" w:eastAsia="黑体" w:cs="Times New Roman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 w:ascii="Times New Roman" w:hAnsi="Times New Roman" w:eastAsia="黑体" w:cs="黑体"/>
          <w:b w:val="0"/>
          <w:bCs/>
          <w:sz w:val="36"/>
          <w:szCs w:val="36"/>
        </w:rPr>
        <w:t>年“创客中国”中小企业</w:t>
      </w:r>
    </w:p>
    <w:p>
      <w:pPr>
        <w:widowControl/>
        <w:ind w:firstLine="640"/>
        <w:jc w:val="center"/>
        <w:rPr>
          <w:rFonts w:hint="eastAsia" w:ascii="Times New Roman" w:hAnsi="Times New Roman" w:eastAsia="黑体" w:cs="黑体"/>
          <w:b w:val="0"/>
          <w:bCs/>
          <w:color w:val="070707"/>
          <w:kern w:val="0"/>
          <w:sz w:val="36"/>
          <w:szCs w:val="36"/>
        </w:rPr>
      </w:pPr>
      <w:r>
        <w:rPr>
          <w:rFonts w:hint="eastAsia" w:ascii="Times New Roman" w:hAnsi="Times New Roman" w:eastAsia="黑体" w:cs="黑体"/>
          <w:b w:val="0"/>
          <w:bCs/>
          <w:sz w:val="36"/>
          <w:szCs w:val="36"/>
        </w:rPr>
        <w:t>创新创业大赛组织方案</w:t>
      </w:r>
    </w:p>
    <w:p>
      <w:pPr>
        <w:widowControl/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仿宋_GB2312"/>
          <w:color w:val="070707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070707"/>
          <w:kern w:val="0"/>
          <w:sz w:val="32"/>
          <w:szCs w:val="32"/>
        </w:rPr>
        <w:t>一、大赛主旨</w:t>
      </w:r>
      <w:r>
        <w:rPr>
          <w:rFonts w:hint="eastAsia" w:ascii="Times New Roman" w:hAnsi="Times New Roman" w:eastAsia="黑体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　　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highlight w:val="none"/>
        </w:rPr>
        <w:t>围绕产业链，部署创新链，配置资金链</w:t>
      </w:r>
    </w:p>
    <w:p>
      <w:pPr>
        <w:widowControl/>
        <w:ind w:firstLine="640" w:firstLineChars="200"/>
        <w:rPr>
          <w:rFonts w:ascii="Times New Roman" w:hAnsi="Times New Roman" w:eastAsia="楷体" w:cs="楷体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070707"/>
          <w:kern w:val="0"/>
          <w:sz w:val="32"/>
          <w:szCs w:val="32"/>
        </w:rPr>
        <w:t>二、组织单位</w:t>
      </w:r>
      <w:r>
        <w:rPr>
          <w:rFonts w:hint="eastAsia" w:ascii="Times New Roman" w:hAnsi="Times New Roman" w:eastAsia="黑体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　　（一）总决赛组织单位</w:t>
      </w:r>
      <w:r>
        <w:rPr>
          <w:rFonts w:hint="eastAsia" w:ascii="Times New Roman" w:hAnsi="Times New Roman" w:eastAsia="楷体" w:cs="楷体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　　主办单位：工业和信息化部、财政部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　　承办单位：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工业和信息化部信息中心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河南省工业和信息化厅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　　（二）区域赛组织单位</w:t>
      </w:r>
    </w:p>
    <w:p>
      <w:pPr>
        <w:widowControl/>
        <w:ind w:firstLine="640" w:firstLineChars="200"/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指导单位：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工业和信息化部、财政部</w:t>
      </w:r>
    </w:p>
    <w:p>
      <w:pPr>
        <w:widowControl/>
        <w:ind w:firstLine="640" w:firstLineChars="200"/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主办单位：各省、自治区、直辖市及计划单列市、新疆生产建设兵团中小企业主管部门（以下统称省级中小企业主管部门）、财政厅（局）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；境外区域赛由工业和信息化部中小企业发展促进中心牵头主办。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　　（三）专题赛组织单位</w:t>
      </w:r>
      <w:r>
        <w:rPr>
          <w:rFonts w:hint="eastAsia" w:ascii="Times New Roman" w:hAnsi="Times New Roman" w:eastAsia="楷体" w:cs="楷体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　　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指导单位：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工业和信息化部、财政部</w:t>
      </w:r>
    </w:p>
    <w:p>
      <w:pPr>
        <w:widowControl/>
        <w:ind w:firstLine="640" w:firstLineChars="200"/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主办单位：由秘书处办公室牵头，并会同国内外行业协会、大企业，园区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和地方政府等主办；鼓励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工业和信息化部部属高校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办赛。</w:t>
      </w:r>
    </w:p>
    <w:p>
      <w:pPr>
        <w:widowControl/>
        <w:ind w:firstLine="640"/>
        <w:jc w:val="left"/>
        <w:rPr>
          <w:rFonts w:ascii="Times New Roman" w:hAnsi="Times New Roman" w:eastAsia="楷体" w:cs="楷体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070707"/>
          <w:kern w:val="0"/>
          <w:sz w:val="32"/>
          <w:szCs w:val="32"/>
        </w:rPr>
        <w:t>三、赛程安排</w:t>
      </w:r>
      <w:r>
        <w:rPr>
          <w:rFonts w:hint="eastAsia" w:ascii="Times New Roman" w:hAnsi="Times New Roman" w:eastAsia="黑体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　　（一）举办区域赛</w:t>
      </w:r>
    </w:p>
    <w:p>
      <w:pPr>
        <w:widowControl/>
        <w:ind w:firstLine="640"/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由省级中小企业主管部门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牵头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主办，项目来源于所辖区域内参赛者的报名（含专题赛项目）。区域赛是向总决赛推荐项目的重要基础，由主办单位全权负责，赛事赛程、专家评审、奖励激励机制设置由主办单位自行确定。</w:t>
      </w:r>
    </w:p>
    <w:p>
      <w:pPr>
        <w:widowControl/>
        <w:ind w:firstLine="640"/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命名规则：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XX年“创客中国”XX省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（区、市）中小企业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创新创业大赛。例如：20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年“创客中国”四川省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中小企业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创新创业大赛；20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年“创客中国”北京市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中小企业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创新创业大赛。</w:t>
      </w:r>
    </w:p>
    <w:p>
      <w:pPr>
        <w:widowControl/>
        <w:ind w:firstLine="640"/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各省级中小企业主管部门要切实提高认识，围绕大赛主旨，精心组织中小微企业和创客积极参与大赛；发掘和推荐本地区、本领域创新能力较强、发展潜力较大的中小微企业。为做好工作衔接，请指定1名工作人员为大赛联络员，于20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年5月1日前将联络员信息发至</w:t>
      </w:r>
      <w:r>
        <w:rPr>
          <w:rFonts w:hint="default" w:ascii="Times New Roman" w:hAnsi="Times New Roman" w:eastAsia="仿宋_GB2312" w:cs="仿宋_GB2312"/>
          <w:color w:val="070707"/>
          <w:kern w:val="0"/>
          <w:sz w:val="32"/>
          <w:szCs w:val="32"/>
        </w:rPr>
        <w:t>大赛组委会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邮箱。</w:t>
      </w:r>
    </w:p>
    <w:p>
      <w:pPr>
        <w:widowControl/>
        <w:ind w:firstLine="640"/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其中，境外区域赛（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2020年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“创客中国”国际中小企业创新创业大赛），由工业和信息化部中小企业发展促进中心会同相关单位共同主办，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赛事赛程、专家评审、奖励激励机制设置由主办单位自行确定。</w:t>
      </w:r>
    </w:p>
    <w:p>
      <w:pPr>
        <w:widowControl/>
        <w:ind w:firstLine="640"/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（二）举办专题赛</w:t>
      </w:r>
      <w:r>
        <w:rPr>
          <w:rFonts w:hint="eastAsia" w:ascii="Times New Roman" w:hAnsi="Times New Roman" w:eastAsia="楷体" w:cs="楷体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　　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聚焦中小企业发展热点、难点问题，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聚集实体经济和制造业、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聚焦行业和专业领域关键技术和创新产品，由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秘书处办公室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会同国内外行业协会、大企业，园区和地方政府等主办。专题赛由主办单位全权负责，赛事赛程、专家评审、奖励激励机制设置由主办单位自行确定。</w:t>
      </w:r>
    </w:p>
    <w:p>
      <w:pPr>
        <w:widowControl/>
        <w:ind w:firstLine="640"/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命名规则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XX年“创客中国”XX行业/专题/国家/企业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中小企业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创新创业大赛。例如：20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年“创客中国”汽车行业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中小企业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创新创业大赛；20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年“创客中国”智能制造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中小企业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创新创业大赛；20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年“创客中国”中外（中德、国际）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中小企业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创新创业大赛。</w:t>
      </w:r>
    </w:p>
    <w:p>
      <w:pPr>
        <w:widowControl/>
        <w:ind w:firstLine="64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鼓励工业和信息化部部属各高校组织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2020年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“创客中国”中小企业创新创业机器人（互联网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+）等专题赛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　　（三）项目推荐</w:t>
      </w:r>
    </w:p>
    <w:p>
      <w:pPr>
        <w:widowControl/>
        <w:ind w:firstLine="643" w:firstLineChars="200"/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b/>
          <w:color w:val="070707"/>
          <w:kern w:val="0"/>
          <w:sz w:val="32"/>
          <w:szCs w:val="32"/>
        </w:rPr>
        <w:t>1.区域赛推荐。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省级中小企业主管部门依托大赛官网，使用大赛秘书处提供的用户名和密码登录，负责本区域内参赛项目审查，并进行项目推荐。组织赛事活动的主办单位，通过“现场答辩、当场亮分”方式组织区域赛决赛并对外公布获奖项目的，赛事结束后书面并加盖公章向组委会推荐获奖项目前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名（企业组前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名，创客组前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名），经组委会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秘书处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审定后，进入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全国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00强备选名单。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组织境外区域赛的主办单位，赛事结束后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书面并加盖公章向组委会推荐获奖项目前4名（企业组前2名，创客组前2名）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经组委会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秘书处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审定后，进入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全国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00强备选名单。</w:t>
      </w:r>
    </w:p>
    <w:p>
      <w:pPr>
        <w:widowControl/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/>
          <w:color w:val="070707"/>
          <w:kern w:val="0"/>
          <w:sz w:val="32"/>
          <w:szCs w:val="32"/>
        </w:rPr>
        <w:t xml:space="preserve">   2.专题赛推荐。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专题赛聚焦制造业高质量发展、中小企业创新创业升级，聚焦行业和专业领域关键技术和创新产品。专题赛主办单位依托大赛官网，使用大赛秘书处提供的用户名和密码登录，负责本专题赛参赛项目审查，并组织赛事活动。赛事结束后书面并加盖公章向组委会推荐获奖项目前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名（企业组前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名，创客组前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名）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经组委会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秘书处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审定后，进入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全国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00强备选名单。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工业和信息化部部属各高校组织的赛事结束后，分别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书面并加盖公章向组委会推荐获奖项目前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名（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注明企业组或创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客组）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经组委会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秘书处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审定后，进入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全国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00强备选名单。</w:t>
      </w:r>
    </w:p>
    <w:p>
      <w:pPr>
        <w:widowControl/>
        <w:ind w:firstLine="640"/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3.项目推荐截止日期为20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年8月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日。</w:t>
      </w:r>
    </w:p>
    <w:p>
      <w:pPr>
        <w:widowControl/>
        <w:ind w:left="1" w:firstLine="710" w:firstLineChars="221"/>
        <w:rPr>
          <w:rFonts w:ascii="Times New Roman" w:hAnsi="Times New Roman" w:eastAsia="楷体_GB2312" w:cs="楷体"/>
          <w:b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（四）</w:t>
      </w:r>
      <w:r>
        <w:rPr>
          <w:rFonts w:hint="eastAsia" w:ascii="Times New Roman" w:hAnsi="Times New Roman" w:eastAsia="楷体_GB2312" w:cs="楷体"/>
          <w:b/>
          <w:kern w:val="0"/>
          <w:sz w:val="32"/>
          <w:szCs w:val="32"/>
        </w:rPr>
        <w:t>专家评审</w:t>
      </w:r>
    </w:p>
    <w:p>
      <w:pPr>
        <w:widowControl/>
        <w:ind w:left="1" w:firstLine="707" w:firstLineChars="221"/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评审专家从专家库中选拔抽取，在各省级中小企业主管部门和主办单位推荐项目的基础上，通过专家评审等方式，从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全国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00强备选名单中产生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全国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200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强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24强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。所有评审结果将在大赛官网进行公示。经组委会同意后，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全国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00强和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全国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强项目名单分别于20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年大赛总决赛之前公示，公示期均为5个工作日。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楷体" w:cs="楷体"/>
          <w:color w:val="070707"/>
          <w:kern w:val="0"/>
          <w:sz w:val="32"/>
          <w:szCs w:val="32"/>
        </w:rPr>
        <w:t>　　</w:t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（五）现场总决赛</w:t>
      </w:r>
      <w:r>
        <w:rPr>
          <w:rFonts w:hint="eastAsia" w:ascii="Times New Roman" w:hAnsi="Times New Roman" w:eastAsia="楷体" w:cs="楷体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　　总决赛通过现场演示和答辩、当场亮分等方式进行项目评审，按得分高低产生获奖项目，并颁奖。现场总决赛拟于20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年10月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底前在河南省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举办（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具体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地点另行通知）。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黑体"/>
          <w:color w:val="070707"/>
          <w:kern w:val="0"/>
          <w:sz w:val="32"/>
          <w:szCs w:val="32"/>
        </w:rPr>
        <w:t>　　四、参赛条件及要求</w:t>
      </w:r>
    </w:p>
    <w:p>
      <w:pPr>
        <w:widowControl/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楷体" w:cs="楷体"/>
          <w:color w:val="070707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　（一）企业组</w:t>
      </w:r>
      <w:r>
        <w:rPr>
          <w:rFonts w:hint="eastAsia" w:ascii="Times New Roman" w:hAnsi="Times New Roman" w:eastAsia="楷体" w:cs="楷体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　　1.在中国境内注册，符合《中小企业划型标准规定》（工信部联企业〔2011〕300号）文件规定的中小微企业；</w:t>
      </w:r>
    </w:p>
    <w:p>
      <w:pPr>
        <w:widowControl/>
        <w:ind w:firstLine="640" w:firstLineChars="200"/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2.参赛项目已进入市场，具有良好发展潜力；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　　3.拥有自主知识产权且无产权纠纷；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　　4.无不良记录。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　　（二）创客组</w:t>
      </w:r>
      <w:r>
        <w:rPr>
          <w:rFonts w:hint="eastAsia" w:ascii="Times New Roman" w:hAnsi="Times New Roman" w:eastAsia="楷体" w:cs="楷体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1.遵纪守法的个人或团队；</w:t>
      </w:r>
    </w:p>
    <w:p>
      <w:pPr>
        <w:rPr>
          <w:rFonts w:ascii="Times New Roman" w:hAnsi="Times New Roman"/>
        </w:rPr>
      </w:pPr>
      <w:r>
        <w:rPr>
          <w:rFonts w:hint="default" w:ascii="Times New Roman" w:hAnsi="Times New Roman" w:eastAsia="仿宋_GB2312" w:cs="仿宋_GB2312"/>
          <w:color w:val="070707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2.团队核心成员不超过5人；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　　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.参赛项目的创意、产品、技术及相关专利归属参赛团队，与其它单位或个人无知识产权纠纷。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楷体" w:cs="楷体"/>
          <w:color w:val="070707"/>
          <w:kern w:val="0"/>
          <w:sz w:val="32"/>
          <w:szCs w:val="32"/>
        </w:rPr>
        <w:t>　　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F6599"/>
    <w:rsid w:val="04B8026F"/>
    <w:rsid w:val="07A6065D"/>
    <w:rsid w:val="084E7494"/>
    <w:rsid w:val="0A0523DC"/>
    <w:rsid w:val="0A356ACF"/>
    <w:rsid w:val="0D6C057D"/>
    <w:rsid w:val="0DEC7818"/>
    <w:rsid w:val="0FEA6399"/>
    <w:rsid w:val="156E2BF3"/>
    <w:rsid w:val="167C0298"/>
    <w:rsid w:val="16EC13E7"/>
    <w:rsid w:val="183B1EB1"/>
    <w:rsid w:val="18903634"/>
    <w:rsid w:val="19785609"/>
    <w:rsid w:val="1AA6468C"/>
    <w:rsid w:val="1D23600B"/>
    <w:rsid w:val="1E67679F"/>
    <w:rsid w:val="1EDD3C56"/>
    <w:rsid w:val="1FA274E6"/>
    <w:rsid w:val="21472D6D"/>
    <w:rsid w:val="219417A3"/>
    <w:rsid w:val="2381434F"/>
    <w:rsid w:val="24E15BA1"/>
    <w:rsid w:val="24E17149"/>
    <w:rsid w:val="2502501E"/>
    <w:rsid w:val="25BF78A7"/>
    <w:rsid w:val="26A62F64"/>
    <w:rsid w:val="2D3961C9"/>
    <w:rsid w:val="2EA73512"/>
    <w:rsid w:val="2EBDDC39"/>
    <w:rsid w:val="2ED75DDB"/>
    <w:rsid w:val="2F111DE6"/>
    <w:rsid w:val="35443164"/>
    <w:rsid w:val="37BB44F4"/>
    <w:rsid w:val="381E6366"/>
    <w:rsid w:val="39680F49"/>
    <w:rsid w:val="3A1C4CBB"/>
    <w:rsid w:val="3C224054"/>
    <w:rsid w:val="40EB511B"/>
    <w:rsid w:val="41F043A9"/>
    <w:rsid w:val="429D1E60"/>
    <w:rsid w:val="439F3F29"/>
    <w:rsid w:val="4427798E"/>
    <w:rsid w:val="476B4941"/>
    <w:rsid w:val="4948261A"/>
    <w:rsid w:val="4C962178"/>
    <w:rsid w:val="4CCF3520"/>
    <w:rsid w:val="52082336"/>
    <w:rsid w:val="539033A3"/>
    <w:rsid w:val="554524D3"/>
    <w:rsid w:val="569912BA"/>
    <w:rsid w:val="57C9438B"/>
    <w:rsid w:val="58135D2A"/>
    <w:rsid w:val="59C93D72"/>
    <w:rsid w:val="5A8A5D5C"/>
    <w:rsid w:val="5C1E64AC"/>
    <w:rsid w:val="5DC869B5"/>
    <w:rsid w:val="5F2971D8"/>
    <w:rsid w:val="609E170A"/>
    <w:rsid w:val="60BA3BF4"/>
    <w:rsid w:val="649808DF"/>
    <w:rsid w:val="657F4E4D"/>
    <w:rsid w:val="662E5F0F"/>
    <w:rsid w:val="67F53829"/>
    <w:rsid w:val="68CA77EA"/>
    <w:rsid w:val="69241423"/>
    <w:rsid w:val="69F71A52"/>
    <w:rsid w:val="6E51182C"/>
    <w:rsid w:val="6E5608C5"/>
    <w:rsid w:val="6E570802"/>
    <w:rsid w:val="6EFF6599"/>
    <w:rsid w:val="6F12636C"/>
    <w:rsid w:val="7051756E"/>
    <w:rsid w:val="70B84EDE"/>
    <w:rsid w:val="71327AC8"/>
    <w:rsid w:val="718370DD"/>
    <w:rsid w:val="73BF2BFA"/>
    <w:rsid w:val="768B2B24"/>
    <w:rsid w:val="77070C13"/>
    <w:rsid w:val="77AFAB0D"/>
    <w:rsid w:val="77CFA90E"/>
    <w:rsid w:val="77E251BD"/>
    <w:rsid w:val="79CB746A"/>
    <w:rsid w:val="7A90544F"/>
    <w:rsid w:val="7D1FB9BB"/>
    <w:rsid w:val="7D7FB07E"/>
    <w:rsid w:val="7DC76DCD"/>
    <w:rsid w:val="7E60798A"/>
    <w:rsid w:val="7FAA420F"/>
    <w:rsid w:val="977F9756"/>
    <w:rsid w:val="B9728210"/>
    <w:rsid w:val="EBF7057D"/>
    <w:rsid w:val="F53F8190"/>
    <w:rsid w:val="FBBF06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25.3333333333333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2019-02-23T01:55:00Z</dcterms:created>
  <dc:creator>张飞云</dc:creator>
  <cp:lastModifiedBy>WPS_1657011126</cp:lastModifiedBy>
  <cp:lastPrinted>2020-01-16T18:23:09Z</cp:lastPrinted>
  <dcterms:modified xsi:type="dcterms:W3CDTF">2022-07-11T09:27:54Z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69092CFB24D7459186290AD56AB292C2</vt:lpwstr>
  </property>
</Properties>
</file>